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z w:val="48"/>
          <w:szCs w:val="48"/>
        </w:rPr>
        <w:t>权责清单梳理调整填报表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单位名称: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粮食和物资服务中心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5月14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827"/>
        <w:gridCol w:w="5"/>
        <w:gridCol w:w="862"/>
        <w:gridCol w:w="1432"/>
        <w:gridCol w:w="1650"/>
        <w:gridCol w:w="2124"/>
        <w:gridCol w:w="2444"/>
        <w:gridCol w:w="1865"/>
        <w:gridCol w:w="1774"/>
        <w:gridCol w:w="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  <w:t>序号</w:t>
            </w:r>
          </w:p>
        </w:tc>
        <w:tc>
          <w:tcPr>
            <w:tcW w:w="8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  <w:t>事项类别</w:t>
            </w:r>
          </w:p>
        </w:tc>
        <w:tc>
          <w:tcPr>
            <w:tcW w:w="86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事项编码</w:t>
            </w:r>
          </w:p>
        </w:tc>
        <w:tc>
          <w:tcPr>
            <w:tcW w:w="30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  <w:t>权力清单</w:t>
            </w:r>
          </w:p>
        </w:tc>
        <w:tc>
          <w:tcPr>
            <w:tcW w:w="82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  <w:t>责任清单</w:t>
            </w:r>
          </w:p>
        </w:tc>
        <w:tc>
          <w:tcPr>
            <w:tcW w:w="85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8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8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  <w:t>事项名称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  <w:t>事项依据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责任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  <w:t>事项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</w:rPr>
              <w:t>责任事项依据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追责情形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追责形式</w:t>
            </w:r>
          </w:p>
        </w:tc>
        <w:tc>
          <w:tcPr>
            <w:tcW w:w="8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1" w:hRule="atLeast"/>
        </w:trPr>
        <w:tc>
          <w:tcPr>
            <w:tcW w:w="479" w:type="dxa"/>
            <w:noWrap w:val="0"/>
            <w:vAlign w:val="center"/>
          </w:tcPr>
          <w:p>
            <w:pPr>
              <w:ind w:firstLine="387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bidi w:val="0"/>
              <w:jc w:val="left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1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行政处罚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770127622-CF-0007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对粮油仓储单位擅自使用“国家储备粮”或“中央储备粮”名称的处罚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[部门规章]《粮油仓储管理办法》（2010年国家发展和改革委员会第5号令）第三十条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立案：受理有关单位移送或下级单位提交的案件，经初步审查，决定是否立案</w:t>
            </w:r>
          </w:p>
          <w:p>
            <w:pPr>
              <w:numPr>
                <w:ilvl w:val="0"/>
                <w:numId w:val="2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调查：撤案、移送或者是按一般或简易程序对案件进行处理</w:t>
            </w:r>
          </w:p>
          <w:p>
            <w:pPr>
              <w:numPr>
                <w:ilvl w:val="0"/>
                <w:numId w:val="2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审查：复核且审批，作出行政处罚决定</w:t>
            </w:r>
          </w:p>
          <w:p>
            <w:pPr>
              <w:numPr>
                <w:ilvl w:val="0"/>
                <w:numId w:val="2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告知</w:t>
            </w:r>
          </w:p>
          <w:p>
            <w:pPr>
              <w:numPr>
                <w:ilvl w:val="0"/>
                <w:numId w:val="2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决定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6、送达：行政处罚决定书7日内送达7、执行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eastAsia="zh-CN"/>
              </w:rPr>
              <w:t>【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法律】《行政处罚发》第五十五条、第六十一条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没有法定的行政处罚依据的；擅自改变行政处罚种类、幅度的；违反法定的行政处罚程序的；</w:t>
            </w:r>
          </w:p>
          <w:p>
            <w:pPr>
              <w:pStyle w:val="2"/>
              <w:numPr>
                <w:ilvl w:val="1"/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2、行政机关为牟取本单位私利，对应当依法移交司法机关追究刑事责任的不移交，以行政处罚代替刑罚。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1、由上级行政机关或者有关部门责令改正，可以对直接负责的主管人员或其他直接责任人员依法给予行政出分；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2、由上级行政机关或有关部门责令纠正；拒不纠正的，对直接负责的主管人员给予行政处分；徇私舞弊、包庇纵容违法行为的，依照刑法有关规定追究刑事责任。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9" w:hRule="atLeast"/>
        </w:trPr>
        <w:tc>
          <w:tcPr>
            <w:tcW w:w="47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numPr>
                <w:ilvl w:val="1"/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1"/>
                <w:numId w:val="0"/>
              </w:numPr>
              <w:ind w:leftChars="0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numPr>
                <w:ilvl w:val="1"/>
                <w:numId w:val="0"/>
              </w:numPr>
              <w:ind w:leftChars="0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numPr>
                <w:ilvl w:val="1"/>
                <w:numId w:val="0"/>
              </w:numPr>
              <w:ind w:leftChars="0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numPr>
                <w:ilvl w:val="1"/>
                <w:numId w:val="0"/>
              </w:numPr>
              <w:ind w:leftChars="0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numPr>
                <w:ilvl w:val="1"/>
                <w:numId w:val="0"/>
              </w:numPr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行政处罚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770127622-CF-0008</w:t>
            </w:r>
          </w:p>
        </w:tc>
        <w:tc>
          <w:tcPr>
            <w:tcW w:w="1432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对粮油仓储单位违反粮油出入库仓储管理规定的罚处</w:t>
            </w:r>
          </w:p>
        </w:tc>
        <w:tc>
          <w:tcPr>
            <w:tcW w:w="1650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[部门规章]《粮油仓储管理办法》（2010年国家发展和改革委员会第5号令）第三十一条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1、立案：受理有关单位移送或下级单位提交的案件，经初步审查，决定是否立案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2、调查：撤案、移送或者是按一般或简易程序对案件进行处理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3、审查：复核且审批，作出行政处罚决定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4、告知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5、决定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6、送达：行政处罚决定书7日内送达7、执行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eastAsia="zh-CN"/>
              </w:rPr>
              <w:t>【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法律】《行政处罚发》第五十五条、第六十一条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1、没有法定的行政处罚依据的；擅自改变行政处罚种类、幅度的；违反法定的行政处罚程序的；</w:t>
            </w:r>
          </w:p>
          <w:p>
            <w:pPr>
              <w:pStyle w:val="2"/>
              <w:numPr>
                <w:ilvl w:val="1"/>
                <w:numId w:val="0"/>
              </w:numPr>
              <w:ind w:left="0" w:leftChars="0" w:firstLine="0" w:firstLineChars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2、行政机关为牟取本单位私利，对应当依法移交司法机关追究刑事责任的不移交，以行政处罚代替刑罚。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1、由上级行政机关或者有关部门责令改正，可以对直接负责的主管人员或其他直接责任人员依法给予行政出分；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2、由上级行政机关或有关部门责令纠正；拒不纠正的，对直接负责的主管人员给予行政处分；徇私舞弊、包庇纵容违法行为的，依照刑法有关规定追究刑事责任。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4" w:hRule="atLeast"/>
        </w:trPr>
        <w:tc>
          <w:tcPr>
            <w:tcW w:w="479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其他权力</w:t>
            </w: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770127622-QT-0001</w:t>
            </w:r>
          </w:p>
        </w:tc>
        <w:tc>
          <w:tcPr>
            <w:tcW w:w="1432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粮油仓储单位从业备案</w:t>
            </w:r>
          </w:p>
        </w:tc>
        <w:tc>
          <w:tcPr>
            <w:tcW w:w="165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[部门规章]《粮油仓储管理办法》（2010年国家发展和改革委员会第5号令）第六条</w:t>
            </w:r>
          </w:p>
        </w:tc>
        <w:tc>
          <w:tcPr>
            <w:tcW w:w="2124" w:type="dxa"/>
            <w:noWrap w:val="0"/>
            <w:vAlign w:val="top"/>
          </w:tcPr>
          <w:p>
            <w:pPr>
              <w:numPr>
                <w:ilvl w:val="0"/>
                <w:numId w:val="4"/>
              </w:numPr>
              <w:jc w:val="center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受理：根据申报单位提交的备案材料确定是否受理。</w:t>
            </w:r>
          </w:p>
          <w:p>
            <w:pPr>
              <w:pStyle w:val="2"/>
              <w:numPr>
                <w:ilvl w:val="0"/>
                <w:numId w:val="4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审查：在10个工作日内对备案材料进行审查和现场核查</w:t>
            </w:r>
          </w:p>
          <w:p>
            <w:pPr>
              <w:numPr>
                <w:ilvl w:val="0"/>
                <w:numId w:val="4"/>
              </w:numPr>
              <w:ind w:left="0" w:leftChars="0" w:firstLine="0" w:firstLineChars="0"/>
              <w:jc w:val="center"/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决定：作出决定</w:t>
            </w:r>
          </w:p>
          <w:p>
            <w:pPr>
              <w:pStyle w:val="2"/>
              <w:numPr>
                <w:ilvl w:val="0"/>
                <w:numId w:val="4"/>
              </w:numPr>
              <w:ind w:left="0" w:leftChars="0" w:firstLine="0" w:firstLineChars="0"/>
              <w:jc w:val="center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送达：颁发《山西省粮油仓储业备案证》</w:t>
            </w:r>
          </w:p>
          <w:p>
            <w:pPr>
              <w:numPr>
                <w:ilvl w:val="0"/>
                <w:numId w:val="4"/>
              </w:numPr>
              <w:ind w:left="0" w:leftChars="0" w:firstLine="0" w:firstLineChars="0"/>
              <w:jc w:val="left"/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事后监管</w:t>
            </w:r>
          </w:p>
        </w:tc>
        <w:tc>
          <w:tcPr>
            <w:tcW w:w="2444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【</w:t>
            </w: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部门规章】《事业单位工作人员处分暂行规定》（人社部、监察部18号令）</w:t>
            </w:r>
          </w:p>
        </w:tc>
        <w:tc>
          <w:tcPr>
            <w:tcW w:w="1865" w:type="dxa"/>
            <w:noWrap w:val="0"/>
            <w:vAlign w:val="top"/>
          </w:tcPr>
          <w:p>
            <w:pPr>
              <w:numPr>
                <w:ilvl w:val="0"/>
                <w:numId w:val="5"/>
              </w:numPr>
              <w:jc w:val="center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对符合法定条件的申报人不予备案的；</w:t>
            </w:r>
          </w:p>
          <w:p>
            <w:pPr>
              <w:pStyle w:val="2"/>
              <w:numPr>
                <w:ilvl w:val="1"/>
                <w:numId w:val="0"/>
              </w:numPr>
              <w:ind w:leftChars="0"/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2、对不符合法定条件的申报人予以备案的。</w:t>
            </w:r>
          </w:p>
        </w:tc>
        <w:tc>
          <w:tcPr>
            <w:tcW w:w="1774" w:type="dxa"/>
            <w:noWrap w:val="0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1、警告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2、记过</w:t>
            </w:r>
          </w:p>
          <w:p>
            <w:pPr>
              <w:jc w:val="left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3、降低岗位等级或者撤职</w:t>
            </w:r>
          </w:p>
          <w:p>
            <w:pPr>
              <w:jc w:val="left"/>
              <w:rPr>
                <w:rFonts w:hint="default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4、开除</w:t>
            </w:r>
          </w:p>
        </w:tc>
        <w:tc>
          <w:tcPr>
            <w:tcW w:w="854" w:type="dxa"/>
            <w:noWrap w:val="0"/>
            <w:vAlign w:val="top"/>
          </w:tcPr>
          <w:p>
            <w:pPr>
              <w:rPr>
                <w:rFonts w:hint="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2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44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86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77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5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2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44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86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77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5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2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44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86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77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5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9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432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44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865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77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54" w:type="dxa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</w:tbl>
    <w:p>
      <w:r>
        <w:rPr>
          <w:rFonts w:hint="eastAsia" w:ascii="仿宋" w:hAnsi="仿宋" w:eastAsia="仿宋" w:cs="仿宋"/>
          <w:sz w:val="28"/>
          <w:szCs w:val="28"/>
        </w:rPr>
        <w:t xml:space="preserve">联系人: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胡福平                   </w:t>
      </w:r>
      <w:r>
        <w:rPr>
          <w:rFonts w:hint="eastAsia" w:ascii="仿宋" w:hAnsi="仿宋" w:eastAsia="仿宋" w:cs="仿宋"/>
          <w:sz w:val="28"/>
          <w:szCs w:val="28"/>
        </w:rPr>
        <w:t>办公电话: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3555668          </w:t>
      </w:r>
      <w:bookmarkStart w:id="0" w:name="_GoBack"/>
      <w:bookmarkEnd w:id="0"/>
    </w:p>
    <w:sectPr>
      <w:pgSz w:w="16838" w:h="11906" w:orient="landscape"/>
      <w:pgMar w:top="1417" w:right="1134" w:bottom="141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2E39F3"/>
    <w:multiLevelType w:val="singleLevel"/>
    <w:tmpl w:val="932E39F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B5723B9"/>
    <w:multiLevelType w:val="singleLevel"/>
    <w:tmpl w:val="CB5723B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2D15A3C"/>
    <w:multiLevelType w:val="singleLevel"/>
    <w:tmpl w:val="F2D15A3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000000D"/>
    <w:multiLevelType w:val="multilevel"/>
    <w:tmpl w:val="0000000D"/>
    <w:lvl w:ilvl="0" w:tentative="0">
      <w:start w:val="1"/>
      <w:numFmt w:val="chineseCountingThousand"/>
      <w:isLgl/>
      <w:lvlText w:val="%1"/>
      <w:lvlJc w:val="left"/>
      <w:pPr>
        <w:tabs>
          <w:tab w:val="left" w:pos="425"/>
        </w:tabs>
        <w:ind w:left="425" w:hanging="425"/>
      </w:pPr>
      <w:rPr>
        <w:rFonts w:hint="default" w:ascii="Times New Roman" w:hAnsi="Times New Roman" w:eastAsia="宋体"/>
        <w:b/>
        <w:i w:val="0"/>
        <w:sz w:val="32"/>
        <w:szCs w:val="32"/>
      </w:rPr>
    </w:lvl>
    <w:lvl w:ilvl="1" w:tentative="0">
      <w:start w:val="1"/>
      <w:numFmt w:val="decimal"/>
      <w:pStyle w:val="2"/>
      <w:isLgl/>
      <w:lvlText w:val="%1.%2"/>
      <w:lvlJc w:val="left"/>
      <w:pPr>
        <w:tabs>
          <w:tab w:val="left" w:pos="567"/>
        </w:tabs>
        <w:ind w:left="397" w:hanging="397"/>
      </w:pPr>
      <w:rPr>
        <w:rFonts w:hint="eastAsia"/>
        <w:b/>
        <w:i w:val="0"/>
        <w:sz w:val="30"/>
        <w:szCs w:val="30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425"/>
        </w:tabs>
        <w:ind w:left="425" w:hanging="425"/>
      </w:pPr>
      <w:rPr>
        <w:rFonts w:hint="eastAsia"/>
        <w:b/>
        <w:sz w:val="28"/>
        <w:szCs w:val="28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922"/>
        </w:tabs>
        <w:ind w:left="5102" w:hanging="1700"/>
      </w:pPr>
      <w:rPr>
        <w:rFonts w:hint="eastAsia"/>
      </w:rPr>
    </w:lvl>
  </w:abstractNum>
  <w:abstractNum w:abstractNumId="4">
    <w:nsid w:val="4DB8C740"/>
    <w:multiLevelType w:val="singleLevel"/>
    <w:tmpl w:val="4DB8C74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93770"/>
    <w:rsid w:val="0DD56C52"/>
    <w:rsid w:val="0DD70C6B"/>
    <w:rsid w:val="2F881C4D"/>
    <w:rsid w:val="3CA9629C"/>
    <w:rsid w:val="4FD00BDA"/>
    <w:rsid w:val="50AC72B4"/>
    <w:rsid w:val="53894286"/>
    <w:rsid w:val="5C1B20F5"/>
    <w:rsid w:val="5F6A1B3E"/>
    <w:rsid w:val="6795605A"/>
    <w:rsid w:val="743D0815"/>
    <w:rsid w:val="7F3B0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156" w:beforeLines="50" w:after="156" w:afterLines="50"/>
      <w:outlineLvl w:val="1"/>
    </w:pPr>
    <w:rPr>
      <w:rFonts w:ascii="Arial" w:hAnsi="Arial"/>
      <w:b/>
      <w:bCs/>
      <w:kern w:val="2"/>
      <w:sz w:val="30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1148</Words>
  <Characters>1227</Characters>
  <Lines>0</Lines>
  <Paragraphs>0</Paragraphs>
  <TotalTime>21</TotalTime>
  <ScaleCrop>false</ScaleCrop>
  <LinksUpToDate>false</LinksUpToDate>
  <CharactersWithSpaces>1304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审批局2</dc:creator>
  <cp:lastModifiedBy>Nietzsche jünger</cp:lastModifiedBy>
  <cp:lastPrinted>2021-05-14T02:26:00Z</cp:lastPrinted>
  <dcterms:modified xsi:type="dcterms:W3CDTF">2022-04-20T00:32:03Z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DD9087AD4AF445F6A73A53A08625DCBD</vt:lpwstr>
  </property>
</Properties>
</file>