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ind w:left="0" w:leftChars="0" w:firstLine="0" w:firstLineChars="0"/>
        <w:jc w:val="both"/>
        <w:textAlignment w:val="auto"/>
        <w:rPr>
          <w:rFonts w:hint="eastAsia" w:ascii="黑体" w:hAnsi="黑体" w:eastAsia="黑体" w:cs="黑体"/>
          <w:color w:val="000000" w:themeColor="text1"/>
          <w:kern w:val="0"/>
          <w:sz w:val="32"/>
          <w:szCs w:val="32"/>
          <w:highlight w:val="none"/>
          <w:lang w:val="en-US" w:eastAsia="zh-CN"/>
          <w14:textFill>
            <w14:solidFill>
              <w14:schemeClr w14:val="tx1"/>
            </w14:solidFill>
          </w14:textFill>
        </w:rPr>
      </w:pPr>
      <w:r>
        <w:rPr>
          <w:rFonts w:hint="eastAsia" w:ascii="黑体" w:hAnsi="黑体" w:eastAsia="黑体" w:cs="黑体"/>
          <w:color w:val="000000" w:themeColor="text1"/>
          <w:kern w:val="0"/>
          <w:sz w:val="32"/>
          <w:szCs w:val="32"/>
          <w:highlight w:val="none"/>
          <w:lang w:val="en-US" w:eastAsia="zh-CN"/>
          <w14:textFill>
            <w14:solidFill>
              <w14:schemeClr w14:val="tx1"/>
            </w14:solidFill>
          </w14:textFill>
        </w:rPr>
        <w:t>附件</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0" w:firstLineChars="0"/>
        <w:jc w:val="both"/>
        <w:textAlignment w:val="auto"/>
        <w:rPr>
          <w:rFonts w:hint="eastAsia" w:ascii="方正仿宋_GB2312" w:hAnsi="方正仿宋_GB2312" w:eastAsia="方正仿宋_GB2312" w:cs="方正仿宋_GB2312"/>
          <w:color w:val="000000" w:themeColor="text1"/>
          <w:kern w:val="0"/>
          <w:sz w:val="32"/>
          <w:szCs w:val="32"/>
          <w:highlight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right="0" w:rightChars="0" w:firstLine="0" w:firstLineChars="0"/>
        <w:jc w:val="center"/>
        <w:textAlignment w:val="auto"/>
        <w:rPr>
          <w:rFonts w:hint="eastAsia" w:ascii="方正小标宋简体" w:hAnsi="方正小标宋简体" w:eastAsia="方正小标宋简体" w:cs="方正小标宋简体"/>
          <w:color w:val="000000" w:themeColor="text1"/>
          <w:kern w:val="0"/>
          <w:sz w:val="44"/>
          <w:szCs w:val="44"/>
          <w:highlight w:val="none"/>
          <w:lang w:val="en-US" w:eastAsia="zh-CN"/>
          <w14:textFill>
            <w14:solidFill>
              <w14:schemeClr w14:val="tx1"/>
            </w14:solidFill>
          </w14:textFill>
        </w:rPr>
      </w:pPr>
      <w:bookmarkStart w:id="0" w:name="_GoBack"/>
      <w:r>
        <w:rPr>
          <w:rFonts w:hint="eastAsia" w:ascii="方正小标宋简体" w:hAnsi="方正小标宋简体" w:eastAsia="方正小标宋简体" w:cs="方正小标宋简体"/>
          <w:color w:val="000000" w:themeColor="text1"/>
          <w:kern w:val="0"/>
          <w:sz w:val="44"/>
          <w:szCs w:val="44"/>
          <w:highlight w:val="none"/>
          <w:lang w:val="en-US" w:eastAsia="zh-CN"/>
          <w14:textFill>
            <w14:solidFill>
              <w14:schemeClr w14:val="tx1"/>
            </w14:solidFill>
          </w14:textFill>
        </w:rPr>
        <w:t>交城县高质量推进黄河一号旅游公路沿线提质增效三年行动工作专班</w:t>
      </w:r>
    </w:p>
    <w:bookmarkEnd w:id="0"/>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left="0" w:leftChars="0" w:right="0" w:rightChars="0" w:firstLine="0" w:firstLineChars="0"/>
        <w:jc w:val="both"/>
        <w:textAlignment w:val="auto"/>
        <w:rPr>
          <w:rFonts w:hint="eastAsia" w:ascii="方正小标宋简体" w:hAnsi="方正小标宋简体" w:eastAsia="方正小标宋简体" w:cs="方正小标宋简体"/>
          <w:color w:val="000000" w:themeColor="text1"/>
          <w:kern w:val="0"/>
          <w:sz w:val="44"/>
          <w:szCs w:val="44"/>
          <w:highlight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黑体" w:hAnsi="黑体" w:eastAsia="黑体" w:cs="黑体"/>
          <w:b w:val="0"/>
          <w:bCs w:val="0"/>
          <w:color w:val="000000" w:themeColor="text1"/>
          <w:kern w:val="0"/>
          <w:sz w:val="32"/>
          <w:szCs w:val="32"/>
          <w:highlight w:val="none"/>
          <w:lang w:eastAsia="zh-CN"/>
          <w14:textFill>
            <w14:solidFill>
              <w14:schemeClr w14:val="tx1"/>
            </w14:solidFill>
          </w14:textFill>
        </w:rPr>
      </w:pPr>
      <w:r>
        <w:rPr>
          <w:rFonts w:hint="eastAsia" w:ascii="黑体" w:hAnsi="黑体" w:eastAsia="黑体" w:cs="黑体"/>
          <w:b w:val="0"/>
          <w:bCs w:val="0"/>
          <w:color w:val="000000" w:themeColor="text1"/>
          <w:kern w:val="0"/>
          <w:sz w:val="32"/>
          <w:szCs w:val="32"/>
          <w:highlight w:val="none"/>
          <w:lang w:val="en-US" w:eastAsia="zh-CN"/>
          <w14:textFill>
            <w14:solidFill>
              <w14:schemeClr w14:val="tx1"/>
            </w14:solidFill>
          </w14:textFill>
        </w:rPr>
        <w:t>一</w:t>
      </w:r>
      <w:r>
        <w:rPr>
          <w:rFonts w:hint="eastAsia" w:ascii="黑体" w:hAnsi="黑体" w:eastAsia="黑体" w:cs="黑体"/>
          <w:b w:val="0"/>
          <w:bCs w:val="0"/>
          <w:color w:val="000000" w:themeColor="text1"/>
          <w:kern w:val="0"/>
          <w:sz w:val="32"/>
          <w:szCs w:val="32"/>
          <w:highlight w:val="none"/>
          <w:lang w:eastAsia="zh-CN"/>
          <w14:textFill>
            <w14:solidFill>
              <w14:schemeClr w14:val="tx1"/>
            </w14:solidFill>
          </w14:textFill>
        </w:rPr>
        <w:t>、组成人员</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组</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长：</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县政府分管交通工作的副县</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长</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副组长：</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县</w:t>
      </w: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交通运输局</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县</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农业农村局、</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县文化和旅游局主要负责人</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Times New Roman" w:hAnsi="Times New Roman" w:eastAsia="仿宋_GB2312"/>
          <w:color w:val="000000" w:themeColor="text1"/>
          <w:kern w:val="0"/>
          <w:sz w:val="32"/>
          <w:highlight w:val="none"/>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eastAsia="zh-CN"/>
          <w14:textFill>
            <w14:solidFill>
              <w14:schemeClr w14:val="tx1"/>
            </w14:solidFill>
          </w14:textFill>
        </w:rPr>
        <w:t>成</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员：</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县</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委宣传部、</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县工信和科技局</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县财政局、县教育体育局、县发展和改革局、县公安局、县住房和城乡建设管理局</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县</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水利局、</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县应急管理局</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县市场监督管理局</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县行政审批服务管理局</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县</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能源局、</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县人力资源和社会保障局、县林业局、市生态环境局交城分局</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交城公路管理段、县邮政公司及庞泉沟</w:t>
      </w:r>
      <w:r>
        <w:rPr>
          <w:rFonts w:hint="eastAsia" w:ascii="仿宋_GB2312" w:hAnsi="仿宋_GB2312" w:eastAsia="仿宋_GB2312" w:cs="仿宋_GB2312"/>
          <w:color w:val="000000" w:themeColor="text1"/>
          <w:kern w:val="0"/>
          <w:sz w:val="32"/>
          <w:highlight w:val="none"/>
          <w:lang w:eastAsia="zh-CN"/>
          <w14:textFill>
            <w14:solidFill>
              <w14:schemeClr w14:val="tx1"/>
            </w14:solidFill>
          </w14:textFill>
        </w:rPr>
        <w:t>镇</w:t>
      </w:r>
      <w:r>
        <w:rPr>
          <w:rFonts w:hint="eastAsia" w:ascii="仿宋_GB2312" w:hAnsi="仿宋_GB2312" w:eastAsia="仿宋_GB2312" w:cs="仿宋_GB2312"/>
          <w:color w:val="000000" w:themeColor="text1"/>
          <w:kern w:val="0"/>
          <w:sz w:val="32"/>
          <w:highlight w:val="none"/>
          <w:lang w:val="en-US" w:eastAsia="zh-CN"/>
          <w14:textFill>
            <w14:solidFill>
              <w14:schemeClr w14:val="tx1"/>
            </w14:solidFill>
          </w14:textFill>
        </w:rPr>
        <w:t>人民政府分管负责人</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黑体" w:hAnsi="黑体" w:eastAsia="黑体" w:cs="黑体"/>
          <w:b w:val="0"/>
          <w:bCs w:val="0"/>
          <w:color w:val="000000" w:themeColor="text1"/>
          <w:kern w:val="0"/>
          <w:sz w:val="32"/>
          <w:szCs w:val="32"/>
          <w:highlight w:val="none"/>
          <w:lang w:val="en-US" w:eastAsia="zh-CN"/>
          <w14:textFill>
            <w14:solidFill>
              <w14:schemeClr w14:val="tx1"/>
            </w14:solidFill>
          </w14:textFill>
        </w:rPr>
      </w:pPr>
      <w:r>
        <w:rPr>
          <w:rFonts w:hint="eastAsia" w:ascii="黑体" w:hAnsi="黑体" w:eastAsia="黑体" w:cs="黑体"/>
          <w:b w:val="0"/>
          <w:bCs w:val="0"/>
          <w:color w:val="000000" w:themeColor="text1"/>
          <w:kern w:val="0"/>
          <w:sz w:val="32"/>
          <w:szCs w:val="32"/>
          <w:highlight w:val="none"/>
          <w:lang w:val="en-US" w:eastAsia="zh-CN"/>
          <w14:textFill>
            <w14:solidFill>
              <w14:schemeClr w14:val="tx1"/>
            </w14:solidFill>
          </w14:textFill>
        </w:rPr>
        <w:t>二、主要任务</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b w:val="0"/>
          <w:bCs w:val="0"/>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kern w:val="0"/>
          <w:sz w:val="32"/>
          <w:szCs w:val="32"/>
          <w:highlight w:val="none"/>
          <w:lang w:val="en-US" w:eastAsia="zh-CN"/>
          <w14:textFill>
            <w14:solidFill>
              <w14:schemeClr w14:val="tx1"/>
            </w14:solidFill>
          </w14:textFill>
        </w:rPr>
        <w:t>贯彻落实省、市关于黄河一号旅游公路沿线提质增效工作的决策部署，组织领导全县黄河一号旅游公路沿线提质增效工作；统筹协调有关部门研究制定提质增效行动政策并监督落实；协调解决工作推进中的重大问题。</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黑体" w:hAnsi="黑体" w:eastAsia="黑体" w:cs="黑体"/>
          <w:b w:val="0"/>
          <w:bCs w:val="0"/>
          <w:color w:val="000000" w:themeColor="text1"/>
          <w:kern w:val="0"/>
          <w:sz w:val="32"/>
          <w:szCs w:val="32"/>
          <w:highlight w:val="none"/>
          <w:lang w:eastAsia="zh-CN"/>
          <w14:textFill>
            <w14:solidFill>
              <w14:schemeClr w14:val="tx1"/>
            </w14:solidFill>
          </w14:textFill>
        </w:rPr>
      </w:pPr>
      <w:r>
        <w:rPr>
          <w:rFonts w:hint="eastAsia" w:ascii="黑体" w:hAnsi="黑体" w:eastAsia="黑体" w:cs="黑体"/>
          <w:b w:val="0"/>
          <w:bCs w:val="0"/>
          <w:color w:val="000000" w:themeColor="text1"/>
          <w:kern w:val="0"/>
          <w:sz w:val="32"/>
          <w:szCs w:val="32"/>
          <w:highlight w:val="none"/>
          <w:lang w:val="en-US" w:eastAsia="zh-CN"/>
          <w14:textFill>
            <w14:solidFill>
              <w14:schemeClr w14:val="tx1"/>
            </w14:solidFill>
          </w14:textFill>
        </w:rPr>
        <w:t>三</w:t>
      </w:r>
      <w:r>
        <w:rPr>
          <w:rFonts w:hint="eastAsia" w:ascii="黑体" w:hAnsi="黑体" w:eastAsia="黑体" w:cs="黑体"/>
          <w:b w:val="0"/>
          <w:bCs w:val="0"/>
          <w:color w:val="000000" w:themeColor="text1"/>
          <w:kern w:val="0"/>
          <w:sz w:val="32"/>
          <w:szCs w:val="32"/>
          <w:highlight w:val="none"/>
          <w:lang w:eastAsia="zh-CN"/>
          <w14:textFill>
            <w14:solidFill>
              <w14:schemeClr w14:val="tx1"/>
            </w14:solidFill>
          </w14:textFill>
        </w:rPr>
        <w:t>、运行机制</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一）专班办公室设在县交通运输局，负责专班日常工作。办公室主任由县交通运输局主要负责同志兼任。专班组成人员如有变动，由专班办公室及时动态调整，并向专班组长、副组长汇报，同时通报各成员单位，县政府办公室不再另行发文。</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（二）专班工作会议根据需要定期或不定期召开，听取工作进展情况汇报，研究重要问题，及时会商研判，协调解决工作推进过程中存在的具体困难和问题。</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（三）专班办公室采取“月调度、季通报、年验收”的举措，了解任务推进情况，调度重点工作。各成员单位深入旅游公路沿线进行调研，制定有力措施，定期报送工作进展情况。</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（四）专班自成立之日起运行至2027年底，到期后自动撤销。根据工作需要确需保留的，由专班办公室作出必要性说明，经专班组长审定后，按程序报县政府审批。</w:t>
      </w:r>
    </w:p>
    <w:p>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jc w:val="both"/>
        <w:textAlignment w:val="auto"/>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（五）专班办公室不刻制印章，如有需要由县交通运输局代章。</w:t>
      </w:r>
    </w:p>
    <w:p>
      <w:pPr>
        <w:bidi w:val="0"/>
        <w:rPr>
          <w:rFonts w:hint="eastAsia"/>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FF42F1"/>
    <w:rsid w:val="7FFF4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2025-07-02T15:11:00Z</dcterms:created>
  <dc:creator>greatwall</dc:creator>
  <cp:lastModifiedBy>greatwall</cp:lastModifiedBy>
  <dcterms:modified xsi:type="dcterms:W3CDTF">2025-07-02T15:11:20Z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2052-11.1.0.11711</vt:lpwstr>
  </property>
</Properties>
</file>