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hint="eastAsia"/>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outlineLvl w:val="9"/>
        <w:rPr>
          <w:rFonts w:hint="eastAsia" w:ascii="方正小标宋简体" w:hAnsi="方正小标宋简体" w:eastAsia="方正小标宋简体" w:cs="方正小标宋简体"/>
          <w:color w:val="000000"/>
          <w:sz w:val="44"/>
          <w:szCs w:val="44"/>
          <w:lang w:val="en-US" w:eastAsia="zh-CN"/>
        </w:rPr>
      </w:pPr>
      <w:bookmarkStart w:id="0" w:name="_GoBack"/>
      <w:r>
        <w:rPr>
          <w:rFonts w:hint="eastAsia" w:ascii="方正小标宋简体" w:hAnsi="方正小标宋简体" w:eastAsia="方正小标宋简体" w:cs="方正小标宋简体"/>
          <w:color w:val="000000"/>
          <w:sz w:val="44"/>
          <w:szCs w:val="44"/>
          <w:lang w:val="en-US" w:eastAsia="zh-CN"/>
        </w:rPr>
        <w:t>2025年度农业生产托管服务责任书</w:t>
      </w:r>
    </w:p>
    <w:bookmarkEnd w:id="0"/>
    <w:p>
      <w:pPr>
        <w:keepNext w:val="0"/>
        <w:keepLines w:val="0"/>
        <w:pageBreakBefore w:val="0"/>
        <w:widowControl w:val="0"/>
        <w:kinsoku/>
        <w:wordWrap/>
        <w:overflowPunct/>
        <w:topLinePunct w:val="0"/>
        <w:autoSpaceDE/>
        <w:autoSpaceDN/>
        <w:bidi w:val="0"/>
        <w:adjustRightInd/>
        <w:snapToGrid/>
        <w:spacing w:line="578" w:lineRule="exact"/>
        <w:jc w:val="both"/>
        <w:textAlignment w:val="auto"/>
        <w:outlineLvl w:val="9"/>
        <w:rPr>
          <w:rFonts w:hint="eastAsia" w:ascii="仿宋_GB2312" w:hAnsi="仿宋_GB2312" w:eastAsia="仿宋_GB2312" w:cs="仿宋_GB2312"/>
          <w:color w:val="000000"/>
          <w:sz w:val="32"/>
          <w:szCs w:val="32"/>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为认真落实《交城县202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年农业生产托管</w:t>
      </w:r>
      <w:r>
        <w:rPr>
          <w:rFonts w:hint="eastAsia" w:ascii="仿宋_GB2312" w:hAnsi="仿宋_GB2312" w:eastAsia="仿宋_GB2312" w:cs="仿宋_GB2312"/>
          <w:color w:val="000000"/>
          <w:sz w:val="32"/>
          <w:szCs w:val="32"/>
          <w:highlight w:val="none"/>
          <w:lang w:eastAsia="zh-CN"/>
        </w:rPr>
        <w:t>服务</w:t>
      </w:r>
      <w:r>
        <w:rPr>
          <w:rFonts w:hint="eastAsia" w:ascii="仿宋_GB2312" w:hAnsi="仿宋_GB2312" w:eastAsia="仿宋_GB2312" w:cs="仿宋_GB2312"/>
          <w:color w:val="000000"/>
          <w:sz w:val="32"/>
          <w:szCs w:val="32"/>
          <w:highlight w:val="none"/>
        </w:rPr>
        <w:t>项目实施方案》要求</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进一步强化农业生产托管服务</w:t>
      </w:r>
      <w:r>
        <w:rPr>
          <w:rFonts w:hint="eastAsia" w:ascii="仿宋_GB2312" w:hAnsi="仿宋_GB2312" w:eastAsia="仿宋_GB2312" w:cs="仿宋_GB2312"/>
          <w:color w:val="000000"/>
          <w:sz w:val="32"/>
          <w:szCs w:val="32"/>
          <w:highlight w:val="none"/>
          <w:lang w:val="en-US" w:eastAsia="zh-CN"/>
        </w:rPr>
        <w:t>主体</w:t>
      </w:r>
      <w:r>
        <w:rPr>
          <w:rFonts w:hint="eastAsia" w:ascii="仿宋_GB2312" w:hAnsi="仿宋_GB2312" w:eastAsia="仿宋_GB2312" w:cs="仿宋_GB2312"/>
          <w:color w:val="000000"/>
          <w:sz w:val="32"/>
          <w:szCs w:val="32"/>
          <w:highlight w:val="none"/>
        </w:rPr>
        <w:t>责任</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规范和加强农业生产托管服务实施的监督管理</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有效预防和减少问题的出现</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促进农业生产托管服务</w:t>
      </w:r>
      <w:r>
        <w:rPr>
          <w:rFonts w:hint="eastAsia" w:ascii="仿宋_GB2312" w:hAnsi="仿宋_GB2312" w:eastAsia="仿宋_GB2312" w:cs="仿宋_GB2312"/>
          <w:color w:val="000000"/>
          <w:sz w:val="32"/>
          <w:szCs w:val="32"/>
          <w:highlight w:val="none"/>
          <w:lang w:val="en-US" w:eastAsia="zh-CN"/>
        </w:rPr>
        <w:t>主体</w:t>
      </w:r>
      <w:r>
        <w:rPr>
          <w:rFonts w:hint="eastAsia" w:ascii="仿宋_GB2312" w:hAnsi="仿宋_GB2312" w:eastAsia="仿宋_GB2312" w:cs="仿宋_GB2312"/>
          <w:color w:val="000000"/>
          <w:sz w:val="32"/>
          <w:szCs w:val="32"/>
          <w:highlight w:val="none"/>
        </w:rPr>
        <w:t>有序健康</w:t>
      </w:r>
      <w:r>
        <w:rPr>
          <w:rFonts w:hint="eastAsia" w:ascii="仿宋_GB2312" w:hAnsi="仿宋_GB2312" w:eastAsia="仿宋_GB2312" w:cs="仿宋_GB2312"/>
          <w:color w:val="000000"/>
          <w:sz w:val="32"/>
          <w:szCs w:val="32"/>
          <w:highlight w:val="none"/>
          <w:lang w:eastAsia="zh-CN"/>
        </w:rPr>
        <w:t>地</w:t>
      </w:r>
      <w:r>
        <w:rPr>
          <w:rFonts w:hint="eastAsia" w:ascii="仿宋_GB2312" w:hAnsi="仿宋_GB2312" w:eastAsia="仿宋_GB2312" w:cs="仿宋_GB2312"/>
          <w:color w:val="000000"/>
          <w:sz w:val="32"/>
          <w:szCs w:val="32"/>
          <w:highlight w:val="none"/>
        </w:rPr>
        <w:t>服务于农户。</w:t>
      </w:r>
      <w:r>
        <w:rPr>
          <w:rFonts w:hint="eastAsia" w:ascii="仿宋_GB2312" w:hAnsi="仿宋_GB2312" w:eastAsia="仿宋_GB2312" w:cs="仿宋_GB2312"/>
          <w:color w:val="000000"/>
          <w:sz w:val="32"/>
          <w:szCs w:val="32"/>
          <w:highlight w:val="none"/>
          <w:lang w:val="en-US" w:eastAsia="zh-CN"/>
        </w:rPr>
        <w:t>重点</w:t>
      </w:r>
      <w:r>
        <w:rPr>
          <w:rFonts w:hint="eastAsia" w:ascii="仿宋_GB2312" w:hAnsi="仿宋_GB2312" w:eastAsia="仿宋_GB2312" w:cs="仿宋_GB2312"/>
          <w:color w:val="000000"/>
          <w:sz w:val="32"/>
          <w:szCs w:val="32"/>
          <w:highlight w:val="none"/>
        </w:rPr>
        <w:t>明确以下管理目标责任和服务</w:t>
      </w:r>
      <w:r>
        <w:rPr>
          <w:rFonts w:hint="eastAsia" w:ascii="仿宋_GB2312" w:hAnsi="仿宋_GB2312" w:eastAsia="仿宋_GB2312" w:cs="仿宋_GB2312"/>
          <w:color w:val="000000"/>
          <w:sz w:val="32"/>
          <w:szCs w:val="32"/>
          <w:highlight w:val="none"/>
          <w:lang w:val="en-US" w:eastAsia="zh-CN"/>
        </w:rPr>
        <w:t>主体</w:t>
      </w:r>
      <w:r>
        <w:rPr>
          <w:rFonts w:hint="eastAsia" w:ascii="仿宋_GB2312" w:hAnsi="仿宋_GB2312" w:eastAsia="仿宋_GB2312" w:cs="仿宋_GB2312"/>
          <w:color w:val="000000"/>
          <w:sz w:val="32"/>
          <w:szCs w:val="32"/>
          <w:highlight w:val="none"/>
        </w:rPr>
        <w:t>责任：</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t>一、管理目标责任</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（一）强化政策宣传，确保农业生产托管服务组织的知情权和参与权。</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（二）对验收合格的，按照资金管理办法及时拨付项目资金。</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（三）免费为服务组织提供宣传资料、培训、入户指导及完成政策措施。</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（四）协调、调动农户和服务组织的积极性，高度重视政策和宣传解释工作。</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（五）督促、指导服务组织对服务对象的服务质量、服务标准是否符合要求。</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t>二、服务主体责任</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val="en-US" w:eastAsia="zh-CN"/>
        </w:rPr>
        <w:t>（一）</w:t>
      </w:r>
      <w:r>
        <w:rPr>
          <w:rFonts w:hint="eastAsia" w:ascii="仿宋_GB2312" w:hAnsi="仿宋_GB2312" w:eastAsia="仿宋_GB2312" w:cs="仿宋_GB2312"/>
          <w:color w:val="000000"/>
          <w:sz w:val="32"/>
          <w:szCs w:val="32"/>
          <w:highlight w:val="none"/>
        </w:rPr>
        <w:t>符合参与农业生产托管县级服务主体</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基本条件</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（二）</w:t>
      </w:r>
      <w:r>
        <w:rPr>
          <w:rFonts w:hint="eastAsia" w:ascii="仿宋_GB2312" w:hAnsi="仿宋_GB2312" w:eastAsia="仿宋_GB2312" w:cs="仿宋_GB2312"/>
          <w:color w:val="000000"/>
          <w:sz w:val="32"/>
          <w:szCs w:val="32"/>
          <w:highlight w:val="none"/>
          <w:lang w:eastAsia="zh-CN"/>
        </w:rPr>
        <w:t>按时保质完成托管作业，</w:t>
      </w:r>
      <w:r>
        <w:rPr>
          <w:rFonts w:hint="eastAsia" w:ascii="仿宋_GB2312" w:hAnsi="仿宋_GB2312" w:eastAsia="仿宋_GB2312" w:cs="仿宋_GB2312"/>
          <w:color w:val="000000"/>
          <w:sz w:val="32"/>
          <w:szCs w:val="32"/>
          <w:highlight w:val="none"/>
        </w:rPr>
        <w:t>不存在虚报面积、假做证明、重复报补等方式骗套</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违规违法行为</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rPr>
        <w:t>（三）按照</w:t>
      </w:r>
      <w:r>
        <w:rPr>
          <w:rFonts w:hint="eastAsia" w:ascii="仿宋_GB2312" w:hAnsi="仿宋_GB2312" w:eastAsia="仿宋_GB2312" w:cs="仿宋_GB2312"/>
          <w:color w:val="000000"/>
          <w:sz w:val="32"/>
          <w:szCs w:val="32"/>
          <w:highlight w:val="none"/>
          <w:lang w:eastAsia="zh-CN"/>
        </w:rPr>
        <w:t>实施</w:t>
      </w:r>
      <w:r>
        <w:rPr>
          <w:rFonts w:hint="eastAsia" w:ascii="仿宋_GB2312" w:hAnsi="仿宋_GB2312" w:eastAsia="仿宋_GB2312" w:cs="仿宋_GB2312"/>
          <w:color w:val="000000"/>
          <w:sz w:val="32"/>
          <w:szCs w:val="32"/>
          <w:highlight w:val="none"/>
        </w:rPr>
        <w:t>方案</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要求</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提供真实</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完整</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准确的资料</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并对其真实性负责</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（四）</w:t>
      </w:r>
      <w:r>
        <w:rPr>
          <w:rFonts w:hint="default" w:ascii="Times New Roman" w:hAnsi="Times New Roman" w:eastAsia="仿宋_GB2312" w:cs="Times New Roman"/>
          <w:color w:val="000000"/>
          <w:sz w:val="32"/>
          <w:szCs w:val="32"/>
          <w:highlight w:val="none"/>
        </w:rPr>
        <w:t>要及时调度农机车辆开展作业</w:t>
      </w:r>
      <w:r>
        <w:rPr>
          <w:rFonts w:hint="eastAsia"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做到不误农时。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w:t>
      </w:r>
      <w:r>
        <w:rPr>
          <w:rFonts w:hint="default" w:ascii="Times New Roman" w:hAnsi="Times New Roman" w:eastAsia="仿宋_GB2312" w:cs="Times New Roman"/>
          <w:color w:val="000000"/>
          <w:sz w:val="32"/>
          <w:szCs w:val="32"/>
          <w:highlight w:val="none"/>
        </w:rPr>
        <w:t>合理收费</w:t>
      </w:r>
      <w:r>
        <w:rPr>
          <w:rFonts w:hint="eastAsia"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要以</w:t>
      </w:r>
      <w:r>
        <w:rPr>
          <w:rFonts w:hint="eastAsia" w:ascii="Times New Roman" w:hAnsi="Times New Roman" w:eastAsia="仿宋_GB2312" w:cs="Times New Roman"/>
          <w:color w:val="000000"/>
          <w:sz w:val="32"/>
          <w:szCs w:val="32"/>
          <w:highlight w:val="none"/>
          <w:lang w:val="en-US" w:eastAsia="zh-CN"/>
        </w:rPr>
        <w:t>各村确定的</w:t>
      </w:r>
      <w:r>
        <w:rPr>
          <w:rFonts w:hint="default" w:ascii="Times New Roman" w:hAnsi="Times New Roman" w:eastAsia="仿宋_GB2312" w:cs="Times New Roman"/>
          <w:color w:val="000000"/>
          <w:sz w:val="32"/>
          <w:szCs w:val="32"/>
          <w:highlight w:val="none"/>
        </w:rPr>
        <w:t>指导价为基准</w:t>
      </w:r>
      <w:r>
        <w:rPr>
          <w:rFonts w:hint="eastAsia"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不得借项目实施乱收费。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六</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配合乡镇、县</w:t>
      </w:r>
      <w:r>
        <w:rPr>
          <w:rFonts w:hint="eastAsia" w:ascii="仿宋_GB2312" w:hAnsi="仿宋_GB2312" w:eastAsia="仿宋_GB2312" w:cs="仿宋_GB2312"/>
          <w:color w:val="000000"/>
          <w:sz w:val="32"/>
          <w:szCs w:val="32"/>
          <w:highlight w:val="none"/>
          <w:lang w:val="en-US" w:eastAsia="zh-CN"/>
        </w:rPr>
        <w:t>现代农业发展服务中心</w:t>
      </w:r>
      <w:r>
        <w:rPr>
          <w:rFonts w:hint="eastAsia" w:ascii="仿宋_GB2312" w:hAnsi="仿宋_GB2312" w:eastAsia="仿宋_GB2312" w:cs="仿宋_GB2312"/>
          <w:color w:val="000000"/>
          <w:sz w:val="32"/>
          <w:szCs w:val="32"/>
          <w:highlight w:val="none"/>
        </w:rPr>
        <w:t>的验收工作</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七</w:t>
      </w:r>
      <w:r>
        <w:rPr>
          <w:rFonts w:hint="eastAsia" w:ascii="仿宋_GB2312" w:hAnsi="仿宋_GB2312" w:eastAsia="仿宋_GB2312" w:cs="仿宋_GB2312"/>
          <w:color w:val="000000"/>
          <w:sz w:val="32"/>
          <w:szCs w:val="32"/>
          <w:highlight w:val="none"/>
        </w:rPr>
        <w:t>）</w:t>
      </w:r>
      <w:r>
        <w:rPr>
          <w:rFonts w:hint="default" w:ascii="Times New Roman" w:hAnsi="Times New Roman" w:eastAsia="仿宋_GB2312" w:cs="Times New Roman"/>
          <w:color w:val="000000"/>
          <w:sz w:val="32"/>
          <w:szCs w:val="32"/>
          <w:highlight w:val="none"/>
        </w:rPr>
        <w:t>强化安全管理</w:t>
      </w:r>
      <w:r>
        <w:rPr>
          <w:rFonts w:hint="eastAsia"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做到安全生产</w:t>
      </w:r>
      <w:r>
        <w:rPr>
          <w:rFonts w:hint="eastAsia"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承担项目作业全程所有安全责任。</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八</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自愿承担违反政策规定和本承诺书内容所引起的纠纷和经济损失等后果</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自愿承担农业生产托管服务主体政策实施的其它有关责任和义务</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本</w:t>
      </w:r>
      <w:r>
        <w:rPr>
          <w:rFonts w:hint="eastAsia" w:ascii="仿宋_GB2312" w:hAnsi="仿宋_GB2312" w:eastAsia="仿宋_GB2312" w:cs="仿宋_GB2312"/>
          <w:color w:val="000000"/>
          <w:sz w:val="32"/>
          <w:szCs w:val="32"/>
          <w:highlight w:val="none"/>
          <w:lang w:eastAsia="zh-CN"/>
        </w:rPr>
        <w:t>服务责任</w:t>
      </w:r>
      <w:r>
        <w:rPr>
          <w:rFonts w:hint="eastAsia" w:ascii="仿宋_GB2312" w:hAnsi="仿宋_GB2312" w:eastAsia="仿宋_GB2312" w:cs="仿宋_GB2312"/>
          <w:color w:val="000000"/>
          <w:sz w:val="32"/>
          <w:szCs w:val="32"/>
          <w:highlight w:val="none"/>
        </w:rPr>
        <w:t>书一式两份</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签字双方各执一份。</w:t>
      </w:r>
    </w:p>
    <w:p>
      <w:pPr>
        <w:keepNext w:val="0"/>
        <w:keepLines w:val="0"/>
        <w:pageBreakBefore w:val="0"/>
        <w:widowControl w:val="0"/>
        <w:kinsoku/>
        <w:wordWrap/>
        <w:overflowPunct/>
        <w:topLinePunct w:val="0"/>
        <w:autoSpaceDE/>
        <w:autoSpaceDN/>
        <w:bidi w:val="0"/>
        <w:adjustRightInd/>
        <w:snapToGrid/>
        <w:spacing w:before="0" w:after="0" w:line="578" w:lineRule="exact"/>
        <w:ind w:left="0" w:leftChars="0"/>
        <w:jc w:val="both"/>
        <w:textAlignment w:val="auto"/>
        <w:outlineLvl w:val="9"/>
        <w:rPr>
          <w:rFonts w:hint="eastAsia"/>
          <w:color w:val="000000"/>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outlineLvl w:val="9"/>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县</w:t>
      </w:r>
      <w:r>
        <w:rPr>
          <w:rFonts w:hint="eastAsia" w:ascii="Times New Roman" w:hAnsi="Times New Roman" w:eastAsia="仿宋_GB2312" w:cs="Times New Roman"/>
          <w:color w:val="000000"/>
          <w:sz w:val="32"/>
          <w:szCs w:val="32"/>
          <w:highlight w:val="none"/>
          <w:lang w:eastAsia="zh-CN"/>
        </w:rPr>
        <w:t>现代农业发展服务中心（盖章）</w:t>
      </w:r>
    </w:p>
    <w:p>
      <w:pPr>
        <w:keepNext w:val="0"/>
        <w:keepLines w:val="0"/>
        <w:pageBreakBefore w:val="0"/>
        <w:widowControl w:val="0"/>
        <w:kinsoku/>
        <w:wordWrap/>
        <w:overflowPunct/>
        <w:topLinePunct w:val="0"/>
        <w:autoSpaceDE/>
        <w:autoSpaceDN/>
        <w:bidi w:val="0"/>
        <w:adjustRightInd/>
        <w:snapToGrid/>
        <w:spacing w:before="0" w:after="0" w:line="578" w:lineRule="exact"/>
        <w:ind w:left="0" w:leftChars="0"/>
        <w:jc w:val="both"/>
        <w:textAlignment w:val="auto"/>
        <w:outlineLvl w:val="9"/>
        <w:rPr>
          <w:rFonts w:hint="default"/>
          <w:color w:val="000000"/>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outlineLvl w:val="9"/>
        <w:rPr>
          <w:rFonts w:hint="default"/>
          <w:color w:val="000000"/>
          <w:highlight w:val="none"/>
        </w:rPr>
      </w:pP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outlineLvl w:val="9"/>
        <w:rPr>
          <w:rFonts w:hint="default" w:ascii="Times New Roman" w:hAnsi="Times New Roman" w:eastAsia="仿宋_GB2312" w:cs="Times New Roman"/>
          <w:color w:val="000000"/>
          <w:sz w:val="32"/>
          <w:szCs w:val="32"/>
          <w:highlight w:val="none"/>
          <w:u w:val="single"/>
        </w:rPr>
      </w:pPr>
      <w:r>
        <w:rPr>
          <w:rFonts w:hint="default" w:ascii="Times New Roman" w:hAnsi="Times New Roman" w:eastAsia="仿宋_GB2312" w:cs="Times New Roman"/>
          <w:color w:val="000000"/>
          <w:sz w:val="32"/>
          <w:szCs w:val="32"/>
          <w:highlight w:val="none"/>
          <w:u w:val="single"/>
        </w:rPr>
        <w:t xml:space="preserve">            </w:t>
      </w:r>
      <w:r>
        <w:rPr>
          <w:rFonts w:hint="eastAsia" w:ascii="Times New Roman" w:hAnsi="Times New Roman" w:eastAsia="仿宋_GB2312" w:cs="Times New Roman"/>
          <w:color w:val="000000"/>
          <w:sz w:val="32"/>
          <w:szCs w:val="32"/>
          <w:highlight w:val="none"/>
          <w:u w:val="single"/>
          <w:lang w:val="en-US" w:eastAsia="zh-CN"/>
        </w:rPr>
        <w:t xml:space="preserve">            </w:t>
      </w:r>
      <w:r>
        <w:rPr>
          <w:rFonts w:hint="default" w:ascii="Times New Roman" w:hAnsi="Times New Roman" w:eastAsia="仿宋_GB2312" w:cs="Times New Roman"/>
          <w:color w:val="000000"/>
          <w:sz w:val="32"/>
          <w:szCs w:val="32"/>
          <w:highlight w:val="none"/>
          <w:u w:val="single"/>
        </w:rPr>
        <w:t xml:space="preserve">              </w:t>
      </w:r>
      <w:r>
        <w:rPr>
          <w:rFonts w:hint="default" w:ascii="Times New Roman" w:hAnsi="Times New Roman" w:eastAsia="仿宋_GB2312" w:cs="Times New Roman"/>
          <w:color w:val="000000"/>
          <w:sz w:val="32"/>
          <w:szCs w:val="32"/>
          <w:highlight w:val="none"/>
        </w:rPr>
        <w:t>（签字盖章）</w:t>
      </w: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left="0" w:leftChars="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年</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日</w:t>
      </w:r>
    </w:p>
    <w:p>
      <w:pPr>
        <w:pageBreakBefore w:val="0"/>
        <w:widowControl w:val="0"/>
        <w:kinsoku/>
        <w:wordWrap/>
        <w:overflowPunct/>
        <w:topLinePunct w:val="0"/>
        <w:autoSpaceDE/>
        <w:autoSpaceDN/>
        <w:bidi w:val="0"/>
        <w:adjustRightInd/>
        <w:snapToGrid/>
        <w:spacing w:line="570" w:lineRule="exact"/>
        <w:ind w:left="0" w:leftChars="0"/>
        <w:textAlignment w:val="auto"/>
        <w:rPr>
          <w:rFonts w:hint="eastAsia" w:ascii="仿宋_GB2312" w:hAnsi="仿宋_GB2312" w:eastAsia="仿宋_GB2312" w:cs="仿宋_GB2312"/>
          <w:color w:val="000000"/>
          <w:sz w:val="32"/>
          <w:szCs w:val="32"/>
          <w:highlight w:val="none"/>
        </w:rPr>
        <w:sectPr>
          <w:pgSz w:w="11906" w:h="16838"/>
          <w:pgMar w:top="2098" w:right="1474" w:bottom="1984" w:left="1587" w:header="851" w:footer="1417" w:gutter="0"/>
          <w:pgBorders>
            <w:top w:val="none" w:sz="0" w:space="0"/>
            <w:left w:val="none" w:sz="0" w:space="0"/>
            <w:bottom w:val="none" w:sz="0" w:space="0"/>
            <w:right w:val="none" w:sz="0" w:space="0"/>
          </w:pgBorders>
          <w:pgNumType w:fmt="decimal"/>
          <w:cols w:space="720" w:num="1"/>
          <w:rtlGutter w:val="0"/>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9940AB"/>
    <w:rsid w:val="3B994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2025-04-17T09:24:00Z</dcterms:created>
  <dc:creator>greatwall</dc:creator>
  <cp:lastModifiedBy>greatwall</cp:lastModifiedBy>
  <dcterms:modified xsi:type="dcterms:W3CDTF">2025-04-17T09:24:18Z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